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bidi w:val="off"/>
        <w:jc w:val="center"/>
        <w:rPr>
          <w:b/>
          <w:sz w:val="32"/>
          <w:u w:val="single"/>
          <w:rtl w:val="off"/>
        </w:rPr>
      </w:pPr>
      <w:r>
        <w:rPr>
          <w:b/>
          <w:sz w:val="32"/>
          <w:u w:val="single"/>
          <w:rtl w:val="off"/>
          <w:lang w:val="de-AT"/>
        </w:rPr>
        <w:t>Ballaststoffe</w:t>
      </w:r>
    </w:p>
    <w:tbl>
      <w:tblPr>
        <w:tblStyle w:val="TableGrid"/>
      </w:tblPr>
      <w:tblGrid>
        <w:gridCol w:w="3167"/>
        <w:gridCol w:w="3167"/>
        <w:gridCol w:w="3167"/>
      </w:tblGrid>
      <w:tr>
        <w:trPr/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Lebensmittel-Gruppe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Lebensmittel</w:t>
            </w:r>
          </w:p>
          <w:p>
            <w:pPr>
              <w:bidi w:val="off"/>
              <w:rPr>
                <w:rtl w:val="off"/>
              </w:rPr>
            </w:pP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Ballaststoffe g/100g</w:t>
            </w:r>
          </w:p>
        </w:tc>
      </w:tr>
      <w:tr>
        <w:trPr/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 xml:space="preserve"> Hülsenfrüchte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Bohnen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Sojabohnen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Linsen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Erbsen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21,9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17,0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16,6</w:t>
            </w:r>
          </w:p>
        </w:tc>
      </w:tr>
      <w:tr>
        <w:trPr/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Obst</w:t>
            </w:r>
          </w:p>
          <w:p>
            <w:pPr>
              <w:bidi w:val="off"/>
              <w:rPr>
                <w:rtl w:val="off"/>
              </w:rPr>
            </w:pP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Trockenobst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Schwarze Johannisbeeren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Heidelbeeren 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Himbeeren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Birne 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Kiwi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Apfel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Mandarine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Nektarine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Pflaume 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 xml:space="preserve">Ananas 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5,0-14,0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6,8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4,9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4,7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3.3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2.1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2.0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2,0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2.0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1,6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1.5</w:t>
            </w:r>
          </w:p>
        </w:tc>
      </w:tr>
      <w:tr>
        <w:trPr/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Gemüse</w:t>
            </w:r>
          </w:p>
          <w:p>
            <w:pPr>
              <w:bidi w:val="off"/>
              <w:rPr>
                <w:rtl w:val="off"/>
              </w:rPr>
            </w:pP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Artischocke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Rosenkohl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Grünkohl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Paprika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Möhren 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Kartoffel 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Tomate 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 xml:space="preserve">Eisbergsalat 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10,8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4,4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4,2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3,6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3,4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2,1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1,0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0,6</w:t>
            </w:r>
          </w:p>
        </w:tc>
      </w:tr>
      <w:tr>
        <w:trPr/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Pilze</w:t>
            </w:r>
          </w:p>
          <w:p>
            <w:pPr>
              <w:bidi w:val="off"/>
              <w:rPr>
                <w:rtl w:val="off"/>
              </w:rPr>
            </w:pP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Steinpilz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Pfifferling  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 xml:space="preserve">Champions 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6,0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4,7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2,0</w:t>
            </w:r>
          </w:p>
        </w:tc>
      </w:tr>
      <w:tr>
        <w:trPr/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Getreideprodukte</w:t>
            </w:r>
          </w:p>
          <w:p>
            <w:pPr>
              <w:bidi w:val="off"/>
              <w:rPr>
                <w:rtl w:val="off"/>
              </w:rPr>
            </w:pP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Weizenkleie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Knäckebrot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Weizenvollkornmehl 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Pumpernickel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Mehrkornbrot 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 xml:space="preserve">Reis natur  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45,4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14,0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11,7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9,3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9,0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2,2</w:t>
            </w:r>
          </w:p>
        </w:tc>
      </w:tr>
      <w:tr>
        <w:trPr/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ungünstige Getreideprodukte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Weizenweißmehl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 xml:space="preserve">Weißbrot 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 xml:space="preserve">Reis poliert </w:t>
            </w:r>
          </w:p>
        </w:tc>
        <w:tc>
          <w:tcPr>
            <w:tcW w:w="3167" w:type="dxa"/>
            <w:gridSpan w:val="1"/>
          </w:tcPr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4,0</w:t>
            </w:r>
          </w:p>
          <w:p>
            <w:pPr>
              <w:bidi w:val="off"/>
              <w:rPr>
                <w:rtl w:val="off"/>
                <w:lang w:val="de-AT"/>
              </w:rPr>
            </w:pPr>
            <w:r>
              <w:rPr>
                <w:rtl w:val="off"/>
                <w:lang w:val="de-AT"/>
              </w:rPr>
              <w:t>3,0</w:t>
            </w:r>
          </w:p>
          <w:p>
            <w:pPr>
              <w:bidi w:val="off"/>
              <w:rPr>
                <w:rtl w:val="off"/>
              </w:rPr>
            </w:pPr>
            <w:r>
              <w:rPr>
                <w:rtl w:val="off"/>
                <w:lang w:val="de-AT"/>
              </w:rPr>
              <w:t>1,4</w:t>
            </w:r>
          </w:p>
        </w:tc>
      </w:tr>
    </w:tbl>
    <w:p>
      <w:pPr>
        <w:bidi w:val="off"/>
        <w:rPr>
          <w:rtl w:val="off"/>
          <w:lang w:val="de-AT"/>
        </w:rPr>
      </w:pPr>
    </w:p>
    <w:p>
      <w:pPr>
        <w:bidi w:val="off"/>
        <w:rPr>
          <w:rtl w:val="off"/>
          <w:lang w:val="de-AT"/>
        </w:rPr>
      </w:pPr>
    </w:p>
    <w:p>
      <w:pPr>
        <w:bidi w:val="off"/>
        <w:rPr>
          <w:b/>
          <w:sz w:val="28"/>
          <w:u w:val="single"/>
          <w:rtl w:val="off"/>
          <w:lang w:val="de-AT"/>
        </w:rPr>
      </w:pPr>
      <w:r>
        <w:rPr>
          <w:b/>
          <w:sz w:val="28"/>
          <w:u w:val="single"/>
          <w:rtl w:val="off"/>
          <w:lang w:val="de-AT"/>
        </w:rPr>
        <w:t xml:space="preserve">Tipps für eine ausreichende Ballaststoffaufnahme </w:t>
      </w:r>
    </w:p>
    <w:p>
      <w:pPr>
        <w:numPr>
          <w:numId w:val="1"/>
        </w:numPr>
        <w:bidi w:val="off"/>
        <w:rPr>
          <w:sz w:val="28"/>
          <w:rtl w:val="off"/>
          <w:lang w:val="de-AT"/>
        </w:rPr>
      </w:pPr>
      <w:r>
        <w:rPr>
          <w:sz w:val="28"/>
          <w:rtl w:val="off"/>
          <w:lang w:val="de-AT"/>
        </w:rPr>
        <w:t>Ballaststoffe sind vorwiegend in pflanzlichen Lebensmitteln, wie Obst, Gemüse und Getreide enthal</w:t>
      </w:r>
      <w:r>
        <w:rPr>
          <w:sz w:val="28"/>
          <w:rtl w:val="off"/>
          <w:lang w:val="de-AT"/>
        </w:rPr>
        <w:t xml:space="preserve">ten. Daher ist eine überwiegend pflanzliche Kost sinnvoll, z.B. ovolactovegetabil ich. </w:t>
      </w:r>
    </w:p>
    <w:p>
      <w:pPr>
        <w:numPr>
          <w:numId w:val="2"/>
        </w:numPr>
        <w:bidi w:val="off"/>
        <w:rPr>
          <w:sz w:val="28"/>
          <w:rtl w:val="off"/>
        </w:rPr>
      </w:pPr>
      <w:r>
        <w:rPr>
          <w:sz w:val="28"/>
          <w:rtl w:val="off"/>
          <w:lang w:val="de-AT"/>
        </w:rPr>
        <w:t xml:space="preserve">Tierische Lebensmittel können ebenfalls Bestandteile mit Ballaststoffwirkung enthalten. Bei Fleisch, </w:t>
      </w:r>
      <w:r>
        <w:rPr>
          <w:sz w:val="28"/>
          <w:rtl w:val="off"/>
          <w:lang w:val="de-AT"/>
        </w:rPr>
        <w:t xml:space="preserve">Fisch und Geflügel handelt es sich um geringe Mengen an Bindegewebshäuten und Fasern. Milch </w:t>
      </w:r>
      <w:r>
        <w:rPr>
          <w:sz w:val="28"/>
          <w:rtl w:val="off"/>
        </w:rPr>
        <w:t>und Milchprodukte können zum Teil beträchtliche Mengen an Milchzucker(Laktose)enthalten.</w:t>
      </w:r>
      <w:r>
        <w:rPr>
          <w:sz w:val="28"/>
          <w:rtl w:val="off"/>
        </w:rPr>
        <w:t xml:space="preserve"> </w:t>
      </w:r>
    </w:p>
    <w:p>
      <w:pPr>
        <w:numPr>
          <w:numId w:val="3"/>
        </w:numPr>
        <w:bidi w:val="off"/>
        <w:rPr>
          <w:sz w:val="28"/>
          <w:rtl w:val="off"/>
        </w:rPr>
      </w:pPr>
      <w:r>
        <w:rPr>
          <w:sz w:val="28"/>
          <w:rtl w:val="off"/>
        </w:rPr>
        <w:t>Bevorzugen Sie Vollkorngetreide und Vollkornprodukte, da die Ballaststoffe in den Randschichten</w:t>
      </w:r>
      <w:r>
        <w:rPr>
          <w:sz w:val="28"/>
          <w:rtl w:val="off"/>
        </w:rPr>
        <w:t xml:space="preserve"> </w:t>
      </w:r>
      <w:r>
        <w:rPr>
          <w:sz w:val="28"/>
          <w:rtl w:val="off"/>
        </w:rPr>
        <w:t>des Getreides vorkommen.</w:t>
      </w:r>
      <w:r>
        <w:rPr>
          <w:sz w:val="28"/>
          <w:rtl w:val="off"/>
        </w:rPr>
        <w:t xml:space="preserve"> </w:t>
      </w:r>
    </w:p>
    <w:p>
      <w:pPr>
        <w:numPr>
          <w:numId w:val="4"/>
        </w:numPr>
        <w:bidi w:val="off"/>
        <w:rPr>
          <w:sz w:val="28"/>
          <w:rtl w:val="off"/>
        </w:rPr>
      </w:pPr>
      <w:r>
        <w:rPr>
          <w:sz w:val="28"/>
          <w:rtl w:val="off"/>
        </w:rPr>
        <w:t>Verzehren Sie besonders ballaststoffreiche Gemüse wie Kohl und Hülsenfrüchte.</w:t>
      </w:r>
      <w:r>
        <w:rPr>
          <w:sz w:val="28"/>
          <w:rtl w:val="off"/>
        </w:rPr>
        <w:t xml:space="preserve"> </w:t>
      </w:r>
    </w:p>
    <w:p>
      <w:pPr>
        <w:numPr>
          <w:numId w:val="5"/>
        </w:numPr>
        <w:bidi w:val="off"/>
        <w:rPr>
          <w:sz w:val="28"/>
          <w:rtl w:val="off"/>
        </w:rPr>
      </w:pPr>
      <w:r>
        <w:rPr>
          <w:sz w:val="28"/>
          <w:rtl w:val="off"/>
        </w:rPr>
        <w:t>Als kleine Zwischenmahlzeit eignen sich auch Joghurts mit Getreidekö</w:t>
      </w:r>
      <w:r>
        <w:rPr>
          <w:sz w:val="28"/>
          <w:rtl w:val="off"/>
          <w:lang w:val="de-AT"/>
        </w:rPr>
        <w:t>rn</w:t>
      </w:r>
      <w:r>
        <w:rPr>
          <w:sz w:val="28"/>
          <w:rtl w:val="off"/>
        </w:rPr>
        <w:t>ern(Mehrkornjoghurt).</w:t>
      </w:r>
      <w:r>
        <w:rPr>
          <w:sz w:val="28"/>
          <w:rtl w:val="off"/>
        </w:rPr>
        <w:t xml:space="preserve"> </w:t>
      </w:r>
    </w:p>
    <w:p>
      <w:pPr>
        <w:numPr>
          <w:numId w:val="6"/>
        </w:numPr>
        <w:bidi w:val="off"/>
        <w:rPr>
          <w:sz w:val="28"/>
          <w:rtl w:val="off"/>
        </w:rPr>
      </w:pPr>
      <w:r>
        <w:rPr>
          <w:sz w:val="28"/>
          <w:rtl w:val="off"/>
        </w:rPr>
        <w:t>Trockenobst enthält viele Ballaststoffe.</w:t>
      </w:r>
      <w:r>
        <w:rPr>
          <w:sz w:val="28"/>
          <w:rtl w:val="off"/>
        </w:rPr>
        <w:t xml:space="preserve"> </w:t>
      </w:r>
    </w:p>
    <w:p>
      <w:pPr>
        <w:numPr>
          <w:numId w:val="7"/>
        </w:numPr>
        <w:bidi w:val="off"/>
        <w:rPr>
          <w:sz w:val="28"/>
          <w:rtl w:val="off"/>
        </w:rPr>
      </w:pPr>
      <w:r>
        <w:rPr>
          <w:sz w:val="28"/>
          <w:rtl w:val="off"/>
        </w:rPr>
        <w:t>Versuchen Sie, 5 kleine Portionen Obst und Gemüse am Tag in Form von Obstsalat, Säften und</w:t>
      </w:r>
      <w:r>
        <w:rPr>
          <w:sz w:val="28"/>
          <w:rtl w:val="off"/>
        </w:rPr>
        <w:t xml:space="preserve"> </w:t>
      </w:r>
      <w:r>
        <w:rPr>
          <w:sz w:val="28"/>
          <w:rtl w:val="off"/>
        </w:rPr>
        <w:t>Rohkost zu verzehren(5-a-day-Regel).</w:t>
      </w:r>
      <w:r>
        <w:rPr>
          <w:sz w:val="28"/>
          <w:rtl w:val="off"/>
        </w:rPr>
        <w:t xml:space="preserve"> </w:t>
      </w:r>
    </w:p>
    <w:p>
      <w:pPr>
        <w:numPr>
          <w:numId w:val="8"/>
        </w:numPr>
        <w:bidi w:val="off"/>
        <w:rPr>
          <w:sz w:val="28"/>
          <w:rtl w:val="off"/>
        </w:rPr>
      </w:pPr>
      <w:r>
        <w:rPr>
          <w:sz w:val="28"/>
          <w:rtl w:val="off"/>
        </w:rPr>
        <w:t>Obst und Gemüse möglichst waschen statt schälen, da die Ballaststoffe in der Schale enthalten</w:t>
      </w:r>
      <w:r>
        <w:rPr>
          <w:sz w:val="28"/>
          <w:rtl w:val="off"/>
        </w:rPr>
        <w:t xml:space="preserve"> </w:t>
      </w:r>
      <w:r>
        <w:rPr>
          <w:sz w:val="28"/>
          <w:rtl w:val="off"/>
        </w:rPr>
        <w:t>sind</w:t>
      </w:r>
      <w:r>
        <w:rPr>
          <w:sz w:val="28"/>
          <w:rtl w:val="off"/>
          <w:lang w:val="de-AT"/>
        </w:rPr>
        <w:t>.</w:t>
      </w:r>
    </w:p>
    <w:p>
      <w:pPr>
        <w:numPr>
          <w:numId w:val="9"/>
        </w:numPr>
        <w:bidi w:val="off"/>
        <w:rPr>
          <w:sz w:val="28"/>
          <w:rtl w:val="off"/>
        </w:rPr>
      </w:pPr>
      <w:r>
        <w:rPr>
          <w:sz w:val="28"/>
          <w:rtl w:val="off"/>
        </w:rPr>
        <w:t>Verzehren Sie Müsli aus Vollkorngetreide mit etwas Obst zum Frühstück. So tun Sie schon morgens</w:t>
      </w:r>
      <w:r>
        <w:rPr>
          <w:sz w:val="28"/>
          <w:rtl w:val="off"/>
        </w:rPr>
        <w:t xml:space="preserve"> </w:t>
      </w:r>
      <w:r>
        <w:rPr>
          <w:sz w:val="28"/>
          <w:rtl w:val="off"/>
        </w:rPr>
        <w:t>einen Schritt in die richtige Richtung.</w:t>
      </w:r>
      <w:r>
        <w:rPr>
          <w:sz w:val="28"/>
          <w:rtl w:val="off"/>
        </w:rPr>
        <w:t xml:space="preserve"> </w:t>
      </w:r>
    </w:p>
    <w:p>
      <w:pPr>
        <w:numPr>
          <w:numId w:val="10"/>
        </w:numPr>
        <w:bidi w:val="off"/>
        <w:rPr>
          <w:sz w:val="28"/>
          <w:rtl w:val="off"/>
        </w:rPr>
      </w:pPr>
      <w:r>
        <w:rPr>
          <w:sz w:val="28"/>
          <w:rtl w:val="off"/>
        </w:rPr>
        <w:t>Soßen können auch mit Getreideflocken gebunden werden.</w:t>
      </w:r>
      <w:r>
        <w:rPr>
          <w:sz w:val="28"/>
          <w:rtl w:val="off"/>
        </w:rPr>
        <w:t xml:space="preserve"> </w:t>
      </w:r>
    </w:p>
    <w:p>
      <w:pPr>
        <w:numPr>
          <w:numId w:val="11"/>
        </w:numPr>
        <w:bidi w:val="off"/>
        <w:rPr>
          <w:sz w:val="28"/>
          <w:rtl w:val="off"/>
        </w:rPr>
      </w:pPr>
      <w:r>
        <w:rPr>
          <w:sz w:val="28"/>
          <w:rtl w:val="off"/>
        </w:rPr>
        <w:t>Durch Zugabe von Vollkornschmelzflocken zu Obstsäften können zusätzliche Ballaststoffe aufge</w:t>
      </w:r>
      <w:r>
        <w:rPr>
          <w:sz w:val="28"/>
          <w:rtl w:val="off"/>
        </w:rPr>
        <w:t>nommen werden.</w:t>
      </w:r>
      <w:r>
        <w:rPr>
          <w:sz w:val="28"/>
          <w:rtl w:val="off"/>
        </w:rPr>
        <w:t xml:space="preserve"> </w:t>
      </w:r>
    </w:p>
    <w:p>
      <w:pPr>
        <w:numPr>
          <w:numId w:val="12"/>
        </w:numPr>
        <w:bidi w:val="off"/>
        <w:rPr>
          <w:sz w:val="28"/>
          <w:rtl w:val="off"/>
        </w:rPr>
      </w:pPr>
      <w:r>
        <w:rPr>
          <w:sz w:val="28"/>
          <w:rtl w:val="off"/>
        </w:rPr>
        <w:t xml:space="preserve">Verzehren Sie auch Soja und Sojaprodukte als zusätzliche </w:t>
      </w:r>
      <w:r>
        <w:rPr>
          <w:sz w:val="28"/>
          <w:rtl w:val="off"/>
        </w:rPr>
        <w:t>Ballaststo</w:t>
      </w:r>
      <w:r>
        <w:rPr>
          <w:sz w:val="28"/>
          <w:rtl w:val="off"/>
          <w:lang w:val="de-AT"/>
        </w:rPr>
        <w:t>ffl</w:t>
      </w:r>
      <w:r>
        <w:rPr>
          <w:sz w:val="28"/>
          <w:rtl w:val="off"/>
        </w:rPr>
        <w:t>ieferanten.</w:t>
      </w:r>
      <w:r>
        <w:rPr>
          <w:sz w:val="28"/>
          <w:rtl w:val="off"/>
        </w:rPr>
        <w:t xml:space="preserve"> </w:t>
      </w:r>
    </w:p>
    <w:p>
      <w:pPr>
        <w:numPr>
          <w:numId w:val="13"/>
        </w:numPr>
        <w:bidi w:val="off"/>
        <w:rPr>
          <w:sz w:val="28"/>
        </w:rPr>
      </w:pPr>
      <w:r>
        <w:rPr>
          <w:sz w:val="28"/>
          <w:rtl w:val="off"/>
        </w:rPr>
        <w:t>Trinken Sie mindestens 2 Liter am Tag, damit die Ballaststoffe quellen können. Dafür eignen sich</w:t>
      </w:r>
      <w:r>
        <w:rPr>
          <w:sz w:val="28"/>
          <w:rtl w:val="off"/>
        </w:rPr>
        <w:t xml:space="preserve"> </w:t>
      </w:r>
      <w:r>
        <w:rPr>
          <w:sz w:val="28"/>
          <w:rtl w:val="off"/>
        </w:rPr>
        <w:t>Schor</w:t>
      </w:r>
      <w:r>
        <w:rPr>
          <w:sz w:val="28"/>
          <w:rtl w:val="off"/>
          <w:lang w:val="de-AT"/>
        </w:rPr>
        <w:t>l</w:t>
      </w:r>
      <w:r>
        <w:rPr>
          <w:sz w:val="28"/>
          <w:rtl w:val="off"/>
        </w:rPr>
        <w:t>en, Mineralwässer, ungesüßte Tees.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5" Type="http://schemas.openxmlformats.org/officeDocument/2006/relationships/settings" Target="setting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Ghamarian</dc:creator>
  <cp:lastModifiedBy>Thomas Ghamarian</cp:lastModifiedBy>
</cp:coreProperties>
</file>